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75" w:rsidRDefault="009A7C75">
      <w:pPr>
        <w:pStyle w:val="Standard"/>
        <w:spacing w:after="200" w:line="276" w:lineRule="auto"/>
        <w:ind w:left="-53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</w:p>
    <w:p w:rsidR="009A7C75" w:rsidRDefault="00083A3A">
      <w:pPr>
        <w:pStyle w:val="Standard"/>
        <w:spacing w:after="200"/>
        <w:ind w:left="-53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9A7C75" w:rsidRDefault="00083A3A">
      <w:pPr>
        <w:pStyle w:val="Standard"/>
        <w:spacing w:after="200"/>
        <w:ind w:left="-53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ЗНАМЕНСКОГО СЕЛЬСОВЕТА</w:t>
      </w:r>
    </w:p>
    <w:p w:rsidR="009A7C75" w:rsidRDefault="00083A3A">
      <w:pPr>
        <w:pStyle w:val="Standard"/>
        <w:spacing w:after="200"/>
        <w:ind w:left="-53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ГОРШЕЧЕНСКОГО РАЙОНА   </w:t>
      </w:r>
    </w:p>
    <w:p w:rsidR="009A7C75" w:rsidRDefault="00083A3A">
      <w:pPr>
        <w:pStyle w:val="Standard"/>
        <w:spacing w:after="200"/>
        <w:ind w:left="-53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КУРСКОЙ ОБЛАСТИ</w:t>
      </w:r>
    </w:p>
    <w:p w:rsidR="009A7C75" w:rsidRDefault="00083A3A">
      <w:pPr>
        <w:pStyle w:val="Standard"/>
        <w:spacing w:after="200" w:line="360" w:lineRule="auto"/>
        <w:ind w:left="-53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9A7C75" w:rsidRDefault="00083A3A">
      <w:pPr>
        <w:pStyle w:val="Standard"/>
        <w:spacing w:after="200" w:line="36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от 16 ноября  2018 г.  № 55</w:t>
      </w:r>
    </w:p>
    <w:p w:rsidR="009A7C75" w:rsidRDefault="00083A3A">
      <w:pPr>
        <w:pStyle w:val="Standard"/>
        <w:spacing w:after="200" w:line="360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перечня муниципальных услуг, предоставляемых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администрацией Знаменского сельсовета Горшеченского района Курской области</w:t>
      </w:r>
    </w:p>
    <w:p w:rsidR="009A7C75" w:rsidRDefault="00083A3A">
      <w:pPr>
        <w:pStyle w:val="Standard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Федеральным законом Российской Федерации от 27 июля 2010 года   № 210-ФЗ «Об организации предоставления государственных и муниципальных услуг», в связи с внесением</w:t>
      </w:r>
      <w:r>
        <w:rPr>
          <w:rFonts w:ascii="Arial" w:hAnsi="Arial" w:cs="Arial"/>
        </w:rPr>
        <w:t xml:space="preserve"> изменений в распоряжение  Администрации Курской области от 18.05.2015 года №350-ра «Об утверждении типового (рекомендуемого) перечня муниципальных услуг администрации муниципального района Курской области (распоряжение №450-ра от 26.10.2018г. Администраци</w:t>
      </w:r>
      <w:r>
        <w:rPr>
          <w:rFonts w:ascii="Arial" w:hAnsi="Arial" w:cs="Arial"/>
        </w:rPr>
        <w:t>и Курской области) Администрация  Знаменского сельсовета Горшеченского района Курской области ПОСТАНОВЛЯЕТ:</w:t>
      </w: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083A3A">
      <w:pPr>
        <w:pStyle w:val="Standard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перечень муниципальных услуг, предоставляемых администрацией  Знаменского   сельсовета Горшеченского района Курской области</w:t>
      </w:r>
      <w:r>
        <w:rPr>
          <w:rFonts w:ascii="Arial" w:hAnsi="Arial" w:cs="Arial"/>
        </w:rPr>
        <w:t>.</w:t>
      </w:r>
    </w:p>
    <w:p w:rsidR="009A7C75" w:rsidRDefault="00083A3A">
      <w:pPr>
        <w:pStyle w:val="Standard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75" w:rsidRDefault="00083A3A">
      <w:pPr>
        <w:pStyle w:val="Standard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 Администрации  Знаменского  сельсовета Горшеченского района Курской области  от 24  апреля  2018 года № 12 «Об утверждении перечня муниципальных услуг, которые являются необходимыми и обязательными при предоставлении Администрацией Зн</w:t>
      </w:r>
      <w:r>
        <w:rPr>
          <w:rFonts w:ascii="Arial" w:hAnsi="Arial" w:cs="Arial"/>
        </w:rPr>
        <w:t>аменского   сельсовета Горшеченского района  Курской области муниципальных услуг и оказываются организациями, участвующими в предоставлении муниципальных услуг  считать утратившим силу.</w:t>
      </w: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083A3A">
      <w:pPr>
        <w:pStyle w:val="Standard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вступает в силу со дня его обнародования и подлежит </w:t>
      </w:r>
      <w:r>
        <w:rPr>
          <w:rFonts w:ascii="Arial" w:hAnsi="Arial" w:cs="Arial"/>
        </w:rPr>
        <w:t>размещению на официальном Интернет – сайте администрации  Знаменского  сельсовета Горшеченского  района  Курской области .</w:t>
      </w: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083A3A">
      <w:pPr>
        <w:pStyle w:val="Standard"/>
        <w:tabs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 Контроль за исполнением настоящего постановления оставляю за собой.</w:t>
      </w:r>
    </w:p>
    <w:p w:rsidR="009A7C75" w:rsidRDefault="009A7C75">
      <w:pPr>
        <w:pStyle w:val="Standard"/>
        <w:tabs>
          <w:tab w:val="left" w:pos="1620"/>
        </w:tabs>
        <w:jc w:val="both"/>
        <w:rPr>
          <w:rFonts w:ascii="Arial" w:hAnsi="Arial" w:cs="Arial"/>
        </w:rPr>
      </w:pPr>
    </w:p>
    <w:p w:rsidR="009A7C75" w:rsidRDefault="009A7C75">
      <w:pPr>
        <w:pStyle w:val="Standard"/>
        <w:tabs>
          <w:tab w:val="left" w:pos="1620"/>
        </w:tabs>
        <w:jc w:val="both"/>
        <w:rPr>
          <w:rFonts w:ascii="Arial" w:hAnsi="Arial" w:cs="Arial"/>
        </w:rPr>
      </w:pPr>
    </w:p>
    <w:p w:rsidR="009A7C75" w:rsidRDefault="00083A3A">
      <w:pPr>
        <w:pStyle w:val="Standard"/>
        <w:tabs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Глава Знаменскогого сельсовета   </w:t>
      </w:r>
    </w:p>
    <w:p w:rsidR="009A7C75" w:rsidRDefault="00083A3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Горшече</w:t>
      </w:r>
      <w:r>
        <w:rPr>
          <w:rFonts w:ascii="Arial" w:hAnsi="Arial" w:cs="Arial"/>
        </w:rPr>
        <w:t>нского района                                                               В.И.Кубарев</w:t>
      </w:r>
    </w:p>
    <w:p w:rsidR="009A7C75" w:rsidRDefault="00083A3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A7C75" w:rsidRDefault="00083A3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A7C75" w:rsidRDefault="00083A3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Знаменскогоченского  района Курской области</w:t>
      </w:r>
    </w:p>
    <w:p w:rsidR="009A7C75" w:rsidRDefault="00083A3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16.11.2018 г  №  55</w:t>
      </w:r>
    </w:p>
    <w:p w:rsidR="009A7C75" w:rsidRDefault="00083A3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Перечень муниципальных услуг, предоставляемых</w:t>
      </w:r>
    </w:p>
    <w:p w:rsidR="009A7C75" w:rsidRDefault="00083A3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</w:t>
      </w:r>
      <w:r>
        <w:rPr>
          <w:rFonts w:ascii="Arial" w:hAnsi="Arial" w:cs="Arial"/>
          <w:b/>
          <w:sz w:val="32"/>
          <w:szCs w:val="32"/>
        </w:rPr>
        <w:t>ацией Знаменского сельсовета</w:t>
      </w:r>
    </w:p>
    <w:p w:rsidR="009A7C75" w:rsidRDefault="00083A3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9A7C75" w:rsidRDefault="009A7C7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8505"/>
        <w:gridCol w:w="1135"/>
      </w:tblGrid>
      <w:tr w:rsidR="009A7C7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№</w:t>
            </w:r>
          </w:p>
          <w:p w:rsidR="009A7C75" w:rsidRDefault="00083A3A">
            <w:pPr>
              <w:pStyle w:val="Standard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200" w:lineRule="atLeast"/>
              <w:jc w:val="center"/>
            </w:pPr>
            <w:r>
              <w:rPr>
                <w:rFonts w:ascii="Arial" w:hAnsi="Arial" w:cs="Arial"/>
                <w:lang w:eastAsia="hi-IN" w:bidi="hi-IN"/>
              </w:rPr>
              <w:t>Наименование муниципальных</w:t>
            </w:r>
            <w:r>
              <w:rPr>
                <w:rFonts w:ascii="Arial" w:hAnsi="Arial" w:cs="Arial"/>
              </w:rPr>
              <w:t xml:space="preserve"> услуг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hd w:val="clear" w:color="auto" w:fill="FFFFFF"/>
              <w:spacing w:before="100" w:after="240" w:line="276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Присвоение  адресов объектам адресации, изменение, аннулирование адресов.</w:t>
            </w:r>
          </w:p>
          <w:p w:rsidR="009A7C75" w:rsidRDefault="009A7C75">
            <w:pPr>
              <w:pStyle w:val="Standard"/>
              <w:spacing w:after="200" w:line="276" w:lineRule="auto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 архивной  информации по документам  Архивного фонда Курской области и другим  архивным документам (выдача архивных справок, архивных выписок  и </w:t>
            </w:r>
            <w:r>
              <w:rPr>
                <w:rFonts w:ascii="Arial" w:hAnsi="Arial" w:cs="Arial"/>
              </w:rPr>
              <w:t>архивных копий).</w:t>
            </w:r>
          </w:p>
          <w:p w:rsidR="009A7C75" w:rsidRDefault="009A7C75">
            <w:pPr>
              <w:pStyle w:val="Standard"/>
              <w:shd w:val="clear" w:color="auto" w:fill="FFFFFF"/>
              <w:spacing w:before="100" w:after="240" w:line="276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after="200" w:line="276" w:lineRule="auto"/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Назначение и выплата пенсии за выслугу лет лицам, замещавшим должности  муниципальной  службы  в администрации органа местного самоуправления Курской области, и ежемесячной доплаты к пенсии выборным должностным лицам.</w:t>
            </w:r>
          </w:p>
          <w:p w:rsidR="009A7C75" w:rsidRDefault="009A7C75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в безвозмездное пользование, аренду имущества, находящегося  в  муниципальной собственности.</w:t>
            </w:r>
          </w:p>
          <w:p w:rsidR="009A7C75" w:rsidRDefault="009A7C75">
            <w:pPr>
              <w:pStyle w:val="Standard"/>
              <w:spacing w:after="200" w:line="276" w:lineRule="auto"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after="200" w:line="276" w:lineRule="auto"/>
              <w:jc w:val="both"/>
              <w:rPr>
                <w:rFonts w:ascii="Arial" w:eastAsia="Calibri" w:hAnsi="Arial" w:cs="Arial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Cs w:val="22"/>
                <w:lang w:eastAsia="zh-CN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</w:t>
            </w:r>
            <w:r>
              <w:rPr>
                <w:rFonts w:ascii="Arial" w:eastAsia="Calibri" w:hAnsi="Arial" w:cs="Arial"/>
                <w:szCs w:val="22"/>
                <w:lang w:eastAsia="zh-CN"/>
              </w:rPr>
              <w:t xml:space="preserve"> или аренду на торгах.</w:t>
            </w:r>
          </w:p>
          <w:p w:rsidR="009A7C75" w:rsidRDefault="009A7C75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земельных участков, находящихся в муниципальной собственности, расположенных на территории  сельского поселения,  в собственность или аренду без проведения торгов.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</w:pPr>
            <w:r>
              <w:rPr>
                <w:rFonts w:ascii="Arial" w:hAnsi="Arial" w:cs="Arial"/>
                <w:bCs/>
              </w:rPr>
              <w:t xml:space="preserve">Предоставление земельных участков, </w:t>
            </w:r>
            <w:r>
              <w:rPr>
                <w:rFonts w:ascii="Arial" w:hAnsi="Arial" w:cs="Arial"/>
                <w:bCs/>
              </w:rPr>
              <w:t xml:space="preserve">находящихся в муниципальной собственности, расположенных на территории </w:t>
            </w:r>
            <w:r>
              <w:rPr>
                <w:rFonts w:ascii="Arial" w:hAnsi="Arial" w:cs="Arial"/>
                <w:color w:val="000000"/>
              </w:rPr>
              <w:t>сельского поселения,</w:t>
            </w:r>
            <w:r>
              <w:rPr>
                <w:rFonts w:ascii="Arial" w:hAnsi="Arial" w:cs="Arial"/>
                <w:bCs/>
              </w:rPr>
              <w:t xml:space="preserve"> в постоянное (бессрочное) и безвозмездное пользование.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</w:pPr>
            <w:r>
              <w:rPr>
                <w:rFonts w:ascii="Arial" w:hAnsi="Arial" w:cs="Arial"/>
                <w:bCs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</w:t>
            </w:r>
            <w:r>
              <w:rPr>
                <w:rFonts w:ascii="Arial" w:hAnsi="Arial" w:cs="Arial"/>
                <w:bCs/>
                <w:lang w:eastAsia="en-US"/>
              </w:rPr>
              <w:t>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</w:t>
            </w:r>
            <w:r>
              <w:rPr>
                <w:rFonts w:ascii="Arial" w:hAnsi="Arial" w:cs="Arial"/>
                <w:bCs/>
                <w:lang w:eastAsia="en-US"/>
              </w:rPr>
              <w:t>им                    (фермерским) хозяйством его деятельности.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100" w:lineRule="atLeast"/>
              <w:jc w:val="both"/>
              <w:rPr>
                <w:rFonts w:ascii="Arial" w:hAnsi="Arial" w:cs="Arial"/>
                <w:bCs/>
              </w:rPr>
            </w:pPr>
          </w:p>
          <w:p w:rsidR="009A7C75" w:rsidRDefault="00083A3A">
            <w:pPr>
              <w:pStyle w:val="Standard"/>
              <w:spacing w:line="100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Утверждение схемы расположения земельного участка на кадастровом плане территории.</w:t>
            </w:r>
          </w:p>
          <w:p w:rsidR="009A7C75" w:rsidRDefault="009A7C75">
            <w:pPr>
              <w:pStyle w:val="Standard"/>
              <w:spacing w:line="100" w:lineRule="atLeast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порубочного </w:t>
            </w:r>
            <w:r>
              <w:rPr>
                <w:rFonts w:ascii="Arial" w:hAnsi="Arial" w:cs="Arial"/>
              </w:rPr>
              <w:t>билета и (или) разрешения на пересадку деревьев и кустарников.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7C7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C75" w:rsidRDefault="00083A3A">
            <w:pPr>
              <w:pStyle w:val="Standard"/>
              <w:jc w:val="both"/>
              <w:rPr>
                <w:rFonts w:ascii="Arial" w:hAnsi="Arial" w:cs="Arial"/>
                <w:color w:val="000000"/>
                <w:lang w:eastAsia="hi-IN" w:bidi="hi-IN"/>
              </w:rPr>
            </w:pPr>
            <w:r>
              <w:rPr>
                <w:rFonts w:ascii="Arial" w:hAnsi="Arial" w:cs="Arial"/>
                <w:color w:val="000000"/>
                <w:lang w:eastAsia="hi-IN" w:bidi="hi-IN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083A3A">
            <w:pPr>
              <w:pStyle w:val="Standard"/>
              <w:spacing w:after="200" w:line="276" w:lineRule="auto"/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Выдача  несовершеннолетним лицам , достигшим 16 лет, разрешения на вступление  в брак до достижения брачного возраста.</w:t>
            </w:r>
          </w:p>
          <w:p w:rsidR="009A7C75" w:rsidRDefault="009A7C75">
            <w:pPr>
              <w:pStyle w:val="Standard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75" w:rsidRDefault="009A7C7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Standard"/>
        <w:spacing w:line="100" w:lineRule="atLeast"/>
        <w:jc w:val="both"/>
        <w:rPr>
          <w:rFonts w:ascii="Arial" w:hAnsi="Arial" w:cs="Arial"/>
        </w:rPr>
      </w:pPr>
    </w:p>
    <w:p w:rsidR="009A7C75" w:rsidRDefault="009A7C75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A7C75" w:rsidRDefault="009A7C75">
      <w:pPr>
        <w:pStyle w:val="a5"/>
        <w:jc w:val="center"/>
      </w:pPr>
    </w:p>
    <w:sectPr w:rsidR="009A7C75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3A" w:rsidRDefault="00083A3A">
      <w:pPr>
        <w:spacing w:after="0" w:line="240" w:lineRule="auto"/>
      </w:pPr>
      <w:r>
        <w:separator/>
      </w:r>
    </w:p>
  </w:endnote>
  <w:endnote w:type="continuationSeparator" w:id="0">
    <w:p w:rsidR="00083A3A" w:rsidRDefault="0008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3A" w:rsidRDefault="00083A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3A3A" w:rsidRDefault="0008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44A99"/>
    <w:multiLevelType w:val="multilevel"/>
    <w:tmpl w:val="379E130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7C75"/>
    <w:rsid w:val="00083A3A"/>
    <w:rsid w:val="006A35B5"/>
    <w:rsid w:val="009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2039-2E8D-4B7A-B529-49BDDD73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  <w:rPr>
      <w:rFonts w:eastAsia="Calibri" w:cs="Calibri"/>
      <w:lang w:eastAsia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2018-11-20T13:31:00Z</cp:lastPrinted>
  <dcterms:created xsi:type="dcterms:W3CDTF">2018-11-21T18:28:00Z</dcterms:created>
  <dcterms:modified xsi:type="dcterms:W3CDTF">2018-11-21T18:28:00Z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